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f677f375c6f494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double" w:sz="4" w:space="0" w:color="auto"/>
        </w:tblBorders>
        <w:tblLayout w:type="fixed"/>
        <w:tblLook w:val="01E0"/>
      </w:tblPr>
      <w:tblGrid>
        <w:gridCol w:w="1134"/>
        <w:gridCol w:w="8222"/>
      </w:tblGrid>
      <w:tr w:rsidR="00FA233C" w:rsidRPr="000F1E72" w:rsidTr="004F52AF">
        <w:trPr>
          <w:trHeight w:val="1128"/>
        </w:trPr>
        <w:tc>
          <w:tcPr>
            <w:tcW w:w="1134" w:type="dxa"/>
            <w:tcBorders>
              <w:bottom w:val="double" w:sz="4" w:space="0" w:color="auto"/>
            </w:tcBorders>
            <w:shd w:val="clear" w:color="auto" w:fill="auto"/>
          </w:tcPr>
          <w:p w:rsidR="00FA233C" w:rsidRPr="000F1E72" w:rsidRDefault="00FA233C" w:rsidP="004F52AF">
            <w:pPr>
              <w:tabs>
                <w:tab w:val="center" w:pos="1701"/>
                <w:tab w:val="center" w:pos="6521"/>
              </w:tabs>
              <w:spacing w:line="264" w:lineRule="auto"/>
              <w:rPr>
                <w:rFonts w:ascii="Arial" w:hAnsi="Arial"/>
                <w:b/>
                <w:spacing w:val="20"/>
                <w:sz w:val="28"/>
                <w:szCs w:val="28"/>
              </w:rPr>
            </w:pPr>
            <w:r>
              <w:rPr>
                <w:noProof/>
              </w:rPr>
              <w:drawing>
                <wp:anchor distT="0" distB="0" distL="114300" distR="114300" simplePos="0" relativeHeight="251659264" behindDoc="0" locked="0" layoutInCell="1" allowOverlap="1">
                  <wp:simplePos x="0" y="0"/>
                  <wp:positionH relativeFrom="column">
                    <wp:posOffset>78740</wp:posOffset>
                  </wp:positionH>
                  <wp:positionV relativeFrom="paragraph">
                    <wp:posOffset>4445</wp:posOffset>
                  </wp:positionV>
                  <wp:extent cx="685800" cy="7473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747395"/>
                          </a:xfrm>
                          <a:prstGeom prst="rect">
                            <a:avLst/>
                          </a:prstGeom>
                          <a:noFill/>
                          <a:ln w="9525">
                            <a:noFill/>
                            <a:miter lim="800000"/>
                            <a:headEnd/>
                            <a:tailEnd/>
                          </a:ln>
                        </pic:spPr>
                      </pic:pic>
                    </a:graphicData>
                  </a:graphic>
                </wp:anchor>
              </w:drawing>
            </w:r>
            <w:r>
              <w:rPr>
                <w:rFonts w:ascii="Arial" w:hAnsi="Arial"/>
                <w:b/>
                <w:spacing w:val="20"/>
                <w:sz w:val="28"/>
                <w:szCs w:val="28"/>
              </w:rPr>
              <w:t xml:space="preserve">                                                                    </w:t>
            </w:r>
          </w:p>
        </w:tc>
        <w:tc>
          <w:tcPr>
            <w:tcW w:w="8222" w:type="dxa"/>
            <w:tcBorders>
              <w:bottom w:val="double" w:sz="4" w:space="0" w:color="auto"/>
            </w:tcBorders>
            <w:shd w:val="clear" w:color="auto" w:fill="auto"/>
          </w:tcPr>
          <w:p w:rsidR="00FA233C" w:rsidRPr="000F1E72" w:rsidRDefault="00FA233C" w:rsidP="004F52AF">
            <w:pPr>
              <w:tabs>
                <w:tab w:val="center" w:pos="1701"/>
                <w:tab w:val="center" w:pos="6521"/>
              </w:tabs>
              <w:spacing w:before="60" w:after="60" w:line="340" w:lineRule="exact"/>
              <w:jc w:val="center"/>
              <w:rPr>
                <w:b/>
                <w:spacing w:val="16"/>
                <w:sz w:val="28"/>
                <w:szCs w:val="28"/>
              </w:rPr>
            </w:pPr>
            <w:r w:rsidRPr="000F1E72">
              <w:rPr>
                <w:b/>
                <w:spacing w:val="16"/>
                <w:sz w:val="28"/>
                <w:szCs w:val="28"/>
              </w:rPr>
              <w:t>CÔNG TY CỔ PHẦN ĐẦU TƯ VÀ THƯƠNG MẠI                  DẦU KHÍ SÔNG ĐÀ</w:t>
            </w:r>
          </w:p>
          <w:p w:rsidR="00FA233C" w:rsidRPr="000F1E72" w:rsidRDefault="00FA233C" w:rsidP="004F52AF">
            <w:pPr>
              <w:spacing w:after="120" w:line="440" w:lineRule="exact"/>
              <w:jc w:val="center"/>
              <w:rPr>
                <w:b/>
                <w:spacing w:val="16"/>
                <w:sz w:val="28"/>
                <w:szCs w:val="28"/>
              </w:rPr>
            </w:pPr>
            <w:r w:rsidRPr="000F1E72">
              <w:rPr>
                <w:spacing w:val="24"/>
                <w:sz w:val="28"/>
                <w:szCs w:val="28"/>
              </w:rPr>
              <w:t>HỘI ĐỒNG QUẢN TRỊ</w:t>
            </w:r>
          </w:p>
        </w:tc>
      </w:tr>
    </w:tbl>
    <w:p w:rsidR="00FA233C" w:rsidRPr="000F1E72" w:rsidRDefault="00FA233C" w:rsidP="00FA233C">
      <w:pPr>
        <w:pStyle w:val="Caption"/>
        <w:spacing w:before="120"/>
        <w:jc w:val="left"/>
        <w:rPr>
          <w:rFonts w:ascii="Times New Roman" w:hAnsi="Times New Roman"/>
        </w:rPr>
      </w:pPr>
      <w:r w:rsidRPr="000F1E72">
        <w:rPr>
          <w:rFonts w:ascii="Times New Roman" w:hAnsi="Times New Roman"/>
          <w:bCs/>
          <w:i w:val="0"/>
          <w:sz w:val="24"/>
        </w:rPr>
        <w:t xml:space="preserve">Số: </w:t>
      </w:r>
      <w:r>
        <w:rPr>
          <w:rFonts w:ascii="Times New Roman" w:hAnsi="Times New Roman"/>
          <w:bCs/>
          <w:i w:val="0"/>
          <w:sz w:val="24"/>
        </w:rPr>
        <w:t>13</w:t>
      </w:r>
      <w:r w:rsidRPr="000F1E72">
        <w:rPr>
          <w:rFonts w:ascii="Times New Roman" w:hAnsi="Times New Roman"/>
          <w:bCs/>
          <w:i w:val="0"/>
          <w:sz w:val="24"/>
        </w:rPr>
        <w:t>/CT - NQ - HĐQT</w:t>
      </w:r>
      <w:r>
        <w:rPr>
          <w:rFonts w:ascii="Times New Roman" w:hAnsi="Times New Roman"/>
          <w:i w:val="0"/>
        </w:rPr>
        <w:t xml:space="preserve">                     </w:t>
      </w:r>
      <w:r w:rsidRPr="000F1E72">
        <w:rPr>
          <w:rFonts w:ascii="Times New Roman" w:hAnsi="Times New Roman"/>
          <w:i w:val="0"/>
        </w:rPr>
        <w:t xml:space="preserve">                </w:t>
      </w:r>
      <w:r>
        <w:rPr>
          <w:rFonts w:ascii="Times New Roman" w:hAnsi="Times New Roman"/>
          <w:i w:val="0"/>
        </w:rPr>
        <w:t xml:space="preserve">   </w:t>
      </w:r>
      <w:r w:rsidRPr="000F1E72">
        <w:rPr>
          <w:rFonts w:ascii="Times New Roman" w:hAnsi="Times New Roman"/>
          <w:i w:val="0"/>
        </w:rPr>
        <w:t xml:space="preserve"> </w:t>
      </w:r>
      <w:r>
        <w:rPr>
          <w:rFonts w:ascii="Times New Roman" w:hAnsi="Times New Roman"/>
          <w:i w:val="0"/>
        </w:rPr>
        <w:t xml:space="preserve"> </w:t>
      </w:r>
      <w:r w:rsidRPr="000F1E72">
        <w:rPr>
          <w:rFonts w:ascii="Times New Roman" w:hAnsi="Times New Roman"/>
          <w:i w:val="0"/>
        </w:rPr>
        <w:t xml:space="preserve"> </w:t>
      </w:r>
      <w:r w:rsidRPr="000F1E72">
        <w:rPr>
          <w:rFonts w:ascii="Times New Roman" w:hAnsi="Times New Roman"/>
          <w:sz w:val="26"/>
        </w:rPr>
        <w:t>Hà Nội, ngày</w:t>
      </w:r>
      <w:r>
        <w:rPr>
          <w:rFonts w:ascii="Times New Roman" w:hAnsi="Times New Roman"/>
          <w:sz w:val="26"/>
        </w:rPr>
        <w:t xml:space="preserve"> 09</w:t>
      </w:r>
      <w:r w:rsidRPr="000F1E72">
        <w:rPr>
          <w:rFonts w:ascii="Times New Roman" w:hAnsi="Times New Roman"/>
          <w:sz w:val="26"/>
        </w:rPr>
        <w:t xml:space="preserve"> tháng 0</w:t>
      </w:r>
      <w:r>
        <w:rPr>
          <w:rFonts w:ascii="Times New Roman" w:hAnsi="Times New Roman"/>
          <w:sz w:val="26"/>
        </w:rPr>
        <w:t>7</w:t>
      </w:r>
      <w:r w:rsidRPr="000F1E72">
        <w:rPr>
          <w:rFonts w:ascii="Times New Roman" w:hAnsi="Times New Roman"/>
          <w:sz w:val="26"/>
        </w:rPr>
        <w:t xml:space="preserve"> n</w:t>
      </w:r>
      <w:r>
        <w:rPr>
          <w:rFonts w:ascii="Times New Roman" w:hAnsi="Times New Roman"/>
          <w:sz w:val="26"/>
        </w:rPr>
        <w:t xml:space="preserve">ăm </w:t>
      </w:r>
      <w:r w:rsidRPr="000F1E72">
        <w:rPr>
          <w:rFonts w:ascii="Times New Roman" w:hAnsi="Times New Roman"/>
          <w:sz w:val="26"/>
        </w:rPr>
        <w:t>2014</w:t>
      </w:r>
    </w:p>
    <w:p w:rsidR="00FA233C" w:rsidRPr="00672B9D" w:rsidRDefault="00FA233C" w:rsidP="00FA233C">
      <w:pPr>
        <w:pStyle w:val="Heading1"/>
        <w:spacing w:line="360" w:lineRule="exact"/>
        <w:rPr>
          <w:rFonts w:ascii="Times New Roman" w:hAnsi="Times New Roman"/>
          <w:color w:val="auto"/>
          <w:sz w:val="28"/>
          <w:szCs w:val="28"/>
        </w:rPr>
      </w:pPr>
      <w:r w:rsidRPr="000F1E72">
        <w:rPr>
          <w:rFonts w:ascii="Times New Roman" w:hAnsi="Times New Roman"/>
          <w:color w:val="auto"/>
          <w:sz w:val="28"/>
          <w:szCs w:val="28"/>
        </w:rPr>
        <w:t>NGHỊ QUYẾT</w:t>
      </w:r>
      <w:r>
        <w:rPr>
          <w:rFonts w:ascii="Times New Roman" w:hAnsi="Times New Roman"/>
          <w:color w:val="auto"/>
          <w:sz w:val="28"/>
          <w:szCs w:val="28"/>
        </w:rPr>
        <w:t xml:space="preserve"> </w:t>
      </w:r>
    </w:p>
    <w:p w:rsidR="00FA233C" w:rsidRPr="00651B62" w:rsidRDefault="00FA233C" w:rsidP="00FA233C">
      <w:pPr>
        <w:spacing w:line="360" w:lineRule="exact"/>
        <w:jc w:val="center"/>
        <w:rPr>
          <w:i/>
          <w:sz w:val="26"/>
          <w:szCs w:val="26"/>
        </w:rPr>
      </w:pPr>
      <w:r w:rsidRPr="00651B62">
        <w:rPr>
          <w:i/>
          <w:sz w:val="26"/>
          <w:szCs w:val="26"/>
        </w:rPr>
        <w:t xml:space="preserve">(V/v: </w:t>
      </w:r>
      <w:r w:rsidRPr="00651B62">
        <w:rPr>
          <w:i/>
          <w:iCs/>
          <w:sz w:val="26"/>
          <w:szCs w:val="26"/>
        </w:rPr>
        <w:t xml:space="preserve">Phê duyệt </w:t>
      </w:r>
      <w:r>
        <w:rPr>
          <w:i/>
          <w:iCs/>
          <w:sz w:val="26"/>
          <w:szCs w:val="26"/>
        </w:rPr>
        <w:t>lựa chọn công ty kiểm toán báo cáo tài chính năm 2014</w:t>
      </w:r>
      <w:r w:rsidRPr="00651B62">
        <w:rPr>
          <w:i/>
          <w:sz w:val="26"/>
          <w:szCs w:val="26"/>
        </w:rPr>
        <w:t>)</w:t>
      </w:r>
    </w:p>
    <w:p w:rsidR="00FA233C" w:rsidRPr="000F1E72" w:rsidRDefault="00FA233C" w:rsidP="00FA233C">
      <w:pPr>
        <w:pStyle w:val="Heading2"/>
        <w:spacing w:line="360" w:lineRule="exact"/>
        <w:rPr>
          <w:rFonts w:ascii="Times New Roman" w:hAnsi="Times New Roman"/>
          <w:iCs/>
          <w:color w:val="auto"/>
          <w:sz w:val="24"/>
          <w:szCs w:val="24"/>
        </w:rPr>
      </w:pPr>
      <w:r w:rsidRPr="000F1E72">
        <w:rPr>
          <w:rFonts w:ascii="Times New Roman" w:hAnsi="Times New Roman"/>
          <w:iCs/>
          <w:color w:val="auto"/>
          <w:sz w:val="24"/>
          <w:szCs w:val="24"/>
        </w:rPr>
        <w:t>HỘI ĐỒNG QUẢN TRỊ</w:t>
      </w:r>
    </w:p>
    <w:p w:rsidR="00FA233C" w:rsidRPr="000F1E72" w:rsidRDefault="00FA233C" w:rsidP="00FA233C">
      <w:pPr>
        <w:pStyle w:val="Heading1"/>
        <w:spacing w:line="360" w:lineRule="exact"/>
        <w:rPr>
          <w:rFonts w:ascii="Times New Roman" w:hAnsi="Times New Roman"/>
          <w:b w:val="0"/>
          <w:color w:val="auto"/>
          <w:sz w:val="24"/>
          <w:szCs w:val="24"/>
        </w:rPr>
      </w:pPr>
      <w:r w:rsidRPr="000F1E72">
        <w:rPr>
          <w:rFonts w:ascii="Times New Roman" w:hAnsi="Times New Roman"/>
          <w:color w:val="auto"/>
          <w:sz w:val="24"/>
          <w:szCs w:val="24"/>
        </w:rPr>
        <w:t xml:space="preserve">CÔNG TY CỔ PHẦN ĐẦU TƯ VÀ THƯƠNG MẠI DẦU KHÍ </w:t>
      </w:r>
      <w:r w:rsidRPr="000F1E72">
        <w:rPr>
          <w:rFonts w:ascii="Times New Roman" w:hAnsi="Times New Roman"/>
          <w:bCs/>
          <w:color w:val="auto"/>
          <w:sz w:val="24"/>
          <w:szCs w:val="24"/>
        </w:rPr>
        <w:t>SÔNG ĐÀ</w:t>
      </w:r>
    </w:p>
    <w:p w:rsidR="00FA233C" w:rsidRDefault="00FA233C" w:rsidP="00FA233C">
      <w:pPr>
        <w:spacing w:line="360" w:lineRule="exact"/>
        <w:rPr>
          <w:b/>
          <w:sz w:val="27"/>
          <w:szCs w:val="27"/>
          <w:u w:val="single"/>
        </w:rPr>
      </w:pPr>
      <w:r w:rsidRPr="000F1E72">
        <w:rPr>
          <w:b/>
          <w:sz w:val="27"/>
          <w:szCs w:val="27"/>
          <w:u w:val="single"/>
        </w:rPr>
        <w:t>Căn cứ:</w:t>
      </w:r>
    </w:p>
    <w:p w:rsidR="00FA233C" w:rsidRDefault="00FA233C" w:rsidP="00FA233C">
      <w:pPr>
        <w:numPr>
          <w:ilvl w:val="0"/>
          <w:numId w:val="1"/>
        </w:numPr>
        <w:tabs>
          <w:tab w:val="clear" w:pos="360"/>
        </w:tabs>
        <w:spacing w:line="360" w:lineRule="exact"/>
        <w:ind w:left="284" w:hanging="284"/>
        <w:jc w:val="both"/>
        <w:rPr>
          <w:sz w:val="27"/>
          <w:szCs w:val="27"/>
        </w:rPr>
      </w:pPr>
      <w:r w:rsidRPr="00767315">
        <w:rPr>
          <w:sz w:val="27"/>
          <w:szCs w:val="27"/>
        </w:rPr>
        <w:t>Điều lệ Công ty Cổ phần Đầu tư và Thương mại Dầu khí Sông Đà;</w:t>
      </w:r>
    </w:p>
    <w:p w:rsidR="00FA233C" w:rsidRPr="00767315" w:rsidRDefault="00FA233C" w:rsidP="00FA233C">
      <w:pPr>
        <w:numPr>
          <w:ilvl w:val="0"/>
          <w:numId w:val="1"/>
        </w:numPr>
        <w:tabs>
          <w:tab w:val="clear" w:pos="360"/>
        </w:tabs>
        <w:spacing w:line="360" w:lineRule="exact"/>
        <w:ind w:left="284" w:hanging="284"/>
        <w:jc w:val="both"/>
        <w:rPr>
          <w:sz w:val="27"/>
          <w:szCs w:val="27"/>
        </w:rPr>
      </w:pPr>
      <w:r w:rsidRPr="00767315">
        <w:rPr>
          <w:sz w:val="27"/>
          <w:szCs w:val="27"/>
        </w:rPr>
        <w:t>Quy chế tài chính của Công ty Cổ phần Đầu tư và Thương mại Dầu khí Sông Đà;</w:t>
      </w:r>
    </w:p>
    <w:p w:rsidR="00FA233C" w:rsidRDefault="00FA233C" w:rsidP="00FA233C">
      <w:pPr>
        <w:numPr>
          <w:ilvl w:val="0"/>
          <w:numId w:val="1"/>
        </w:numPr>
        <w:tabs>
          <w:tab w:val="clear" w:pos="360"/>
        </w:tabs>
        <w:spacing w:line="360" w:lineRule="exact"/>
        <w:ind w:left="284" w:hanging="284"/>
        <w:jc w:val="both"/>
        <w:rPr>
          <w:sz w:val="27"/>
          <w:szCs w:val="27"/>
        </w:rPr>
      </w:pPr>
      <w:r>
        <w:rPr>
          <w:sz w:val="27"/>
          <w:szCs w:val="27"/>
        </w:rPr>
        <w:t>Nghị quyết số 01</w:t>
      </w:r>
      <w:r w:rsidRPr="00767315">
        <w:rPr>
          <w:sz w:val="27"/>
          <w:szCs w:val="27"/>
        </w:rPr>
        <w:t>/NQ-ĐHĐCĐ/201</w:t>
      </w:r>
      <w:r>
        <w:rPr>
          <w:sz w:val="27"/>
          <w:szCs w:val="27"/>
        </w:rPr>
        <w:t>4</w:t>
      </w:r>
      <w:r w:rsidRPr="00767315">
        <w:rPr>
          <w:sz w:val="27"/>
          <w:szCs w:val="27"/>
        </w:rPr>
        <w:t>, ngày 03/4/201</w:t>
      </w:r>
      <w:r>
        <w:rPr>
          <w:sz w:val="27"/>
          <w:szCs w:val="27"/>
        </w:rPr>
        <w:t>4</w:t>
      </w:r>
      <w:r w:rsidRPr="00767315">
        <w:rPr>
          <w:sz w:val="27"/>
          <w:szCs w:val="27"/>
        </w:rPr>
        <w:t xml:space="preserve"> của Đại hội đồng cổ đông thường niên Công ty Cổ phần Đầu tư và Thương mại Dầu khí Sông Đà năm 2014;</w:t>
      </w:r>
    </w:p>
    <w:p w:rsidR="00FA233C" w:rsidRPr="009C5885" w:rsidRDefault="00FA233C" w:rsidP="00FA233C">
      <w:pPr>
        <w:numPr>
          <w:ilvl w:val="0"/>
          <w:numId w:val="1"/>
        </w:numPr>
        <w:tabs>
          <w:tab w:val="clear" w:pos="360"/>
        </w:tabs>
        <w:spacing w:line="360" w:lineRule="exact"/>
        <w:ind w:left="284" w:hanging="284"/>
        <w:jc w:val="both"/>
        <w:rPr>
          <w:sz w:val="27"/>
          <w:szCs w:val="27"/>
        </w:rPr>
      </w:pPr>
      <w:r w:rsidRPr="009C5885">
        <w:rPr>
          <w:sz w:val="27"/>
          <w:szCs w:val="27"/>
        </w:rPr>
        <w:t>Các Quy trình, quy định về quản lý xe máy, thiết bị của Công ty;</w:t>
      </w:r>
    </w:p>
    <w:p w:rsidR="00FA233C" w:rsidRPr="00767694" w:rsidRDefault="00FA233C" w:rsidP="00FA233C">
      <w:pPr>
        <w:numPr>
          <w:ilvl w:val="0"/>
          <w:numId w:val="1"/>
        </w:numPr>
        <w:tabs>
          <w:tab w:val="clear" w:pos="360"/>
        </w:tabs>
        <w:spacing w:line="360" w:lineRule="exact"/>
        <w:ind w:left="284" w:hanging="284"/>
        <w:jc w:val="both"/>
        <w:rPr>
          <w:sz w:val="27"/>
          <w:szCs w:val="27"/>
        </w:rPr>
      </w:pPr>
      <w:r w:rsidRPr="00767315">
        <w:rPr>
          <w:sz w:val="27"/>
          <w:szCs w:val="27"/>
        </w:rPr>
        <w:t>Tờ trình số 1</w:t>
      </w:r>
      <w:r>
        <w:rPr>
          <w:sz w:val="27"/>
          <w:szCs w:val="27"/>
        </w:rPr>
        <w:t>7</w:t>
      </w:r>
      <w:r w:rsidRPr="00767315">
        <w:rPr>
          <w:sz w:val="27"/>
          <w:szCs w:val="27"/>
        </w:rPr>
        <w:t xml:space="preserve"> CT/KTĐT, ngày </w:t>
      </w:r>
      <w:r>
        <w:rPr>
          <w:sz w:val="27"/>
          <w:szCs w:val="27"/>
        </w:rPr>
        <w:t>02</w:t>
      </w:r>
      <w:r w:rsidRPr="00767315">
        <w:rPr>
          <w:sz w:val="27"/>
          <w:szCs w:val="27"/>
        </w:rPr>
        <w:t>/0</w:t>
      </w:r>
      <w:r>
        <w:rPr>
          <w:sz w:val="27"/>
          <w:szCs w:val="27"/>
        </w:rPr>
        <w:t>7</w:t>
      </w:r>
      <w:r w:rsidRPr="00767315">
        <w:rPr>
          <w:sz w:val="27"/>
          <w:szCs w:val="27"/>
        </w:rPr>
        <w:t>/2014 của Tổng Giám đốc Công ty trình Hội đồng quản trị Công ty xem xét, phê duyệt “</w:t>
      </w:r>
      <w:r>
        <w:rPr>
          <w:sz w:val="27"/>
          <w:szCs w:val="27"/>
        </w:rPr>
        <w:t xml:space="preserve">Phê </w:t>
      </w:r>
      <w:r w:rsidRPr="00767694">
        <w:rPr>
          <w:sz w:val="27"/>
          <w:szCs w:val="27"/>
        </w:rPr>
        <w:t xml:space="preserve">duyệt </w:t>
      </w:r>
      <w:r w:rsidRPr="00767694">
        <w:rPr>
          <w:iCs/>
          <w:sz w:val="26"/>
          <w:szCs w:val="26"/>
        </w:rPr>
        <w:t>lựa chọn công ty kiểm toán báo cáo tài chính năm 2014</w:t>
      </w:r>
      <w:r w:rsidRPr="00767694">
        <w:rPr>
          <w:sz w:val="27"/>
          <w:szCs w:val="27"/>
        </w:rPr>
        <w:t>”;</w:t>
      </w:r>
    </w:p>
    <w:p w:rsidR="00FA233C" w:rsidRPr="00767315" w:rsidRDefault="00FA233C" w:rsidP="00FA233C">
      <w:pPr>
        <w:numPr>
          <w:ilvl w:val="0"/>
          <w:numId w:val="1"/>
        </w:numPr>
        <w:tabs>
          <w:tab w:val="clear" w:pos="360"/>
        </w:tabs>
        <w:spacing w:line="360" w:lineRule="exact"/>
        <w:ind w:left="284" w:hanging="284"/>
        <w:jc w:val="both"/>
        <w:rPr>
          <w:sz w:val="27"/>
          <w:szCs w:val="27"/>
        </w:rPr>
      </w:pPr>
      <w:r w:rsidRPr="00767315">
        <w:rPr>
          <w:sz w:val="27"/>
          <w:szCs w:val="27"/>
        </w:rPr>
        <w:t xml:space="preserve">Bảng tổng hợp phiếu xin ý kiến HĐQT </w:t>
      </w:r>
      <w:r>
        <w:rPr>
          <w:sz w:val="27"/>
          <w:szCs w:val="27"/>
        </w:rPr>
        <w:t>V/v</w:t>
      </w:r>
      <w:r w:rsidRPr="00767315">
        <w:rPr>
          <w:sz w:val="27"/>
          <w:szCs w:val="27"/>
        </w:rPr>
        <w:t xml:space="preserve"> </w:t>
      </w:r>
      <w:r>
        <w:rPr>
          <w:sz w:val="27"/>
          <w:szCs w:val="27"/>
        </w:rPr>
        <w:t xml:space="preserve">Phê </w:t>
      </w:r>
      <w:r w:rsidRPr="00767694">
        <w:rPr>
          <w:sz w:val="27"/>
          <w:szCs w:val="27"/>
        </w:rPr>
        <w:t xml:space="preserve">duyệt </w:t>
      </w:r>
      <w:r w:rsidRPr="00767694">
        <w:rPr>
          <w:iCs/>
          <w:sz w:val="26"/>
          <w:szCs w:val="26"/>
        </w:rPr>
        <w:t>lựa chọn công ty kiểm toán báo cáo tài chính năm 2014</w:t>
      </w:r>
      <w:r>
        <w:rPr>
          <w:sz w:val="27"/>
          <w:szCs w:val="27"/>
        </w:rPr>
        <w:t>.</w:t>
      </w:r>
    </w:p>
    <w:p w:rsidR="00FA233C" w:rsidRPr="000F1E72" w:rsidRDefault="00FA233C" w:rsidP="00FA233C">
      <w:pPr>
        <w:spacing w:line="360" w:lineRule="exact"/>
        <w:jc w:val="center"/>
        <w:rPr>
          <w:b/>
          <w:sz w:val="27"/>
          <w:szCs w:val="27"/>
        </w:rPr>
      </w:pPr>
      <w:r w:rsidRPr="000F1E72">
        <w:rPr>
          <w:b/>
          <w:sz w:val="27"/>
          <w:szCs w:val="27"/>
        </w:rPr>
        <w:t>QUYẾT NGHỊ:</w:t>
      </w:r>
    </w:p>
    <w:p w:rsidR="00FA233C" w:rsidRDefault="00FA233C" w:rsidP="00FA233C">
      <w:pPr>
        <w:spacing w:line="360" w:lineRule="exact"/>
        <w:jc w:val="both"/>
        <w:rPr>
          <w:sz w:val="27"/>
          <w:szCs w:val="27"/>
        </w:rPr>
      </w:pPr>
      <w:r w:rsidRPr="00BA280A">
        <w:rPr>
          <w:b/>
          <w:bCs/>
          <w:sz w:val="27"/>
          <w:szCs w:val="27"/>
          <w:u w:val="single"/>
        </w:rPr>
        <w:t>Điều 1:</w:t>
      </w:r>
      <w:r w:rsidRPr="00BA280A">
        <w:rPr>
          <w:sz w:val="27"/>
          <w:szCs w:val="27"/>
        </w:rPr>
        <w:t xml:space="preserve"> Phê duyệt </w:t>
      </w:r>
      <w:r>
        <w:rPr>
          <w:sz w:val="27"/>
          <w:szCs w:val="27"/>
        </w:rPr>
        <w:t>thông qua công ty kiểm toán báo cáo tài chính năm 2014 với nội dung sau</w:t>
      </w:r>
      <w:r w:rsidRPr="00BA280A">
        <w:rPr>
          <w:sz w:val="27"/>
          <w:szCs w:val="27"/>
        </w:rPr>
        <w:t>:</w:t>
      </w:r>
    </w:p>
    <w:p w:rsidR="00FA233C" w:rsidRDefault="00FA233C" w:rsidP="00FA233C">
      <w:pPr>
        <w:spacing w:line="360" w:lineRule="exact"/>
        <w:jc w:val="both"/>
        <w:rPr>
          <w:sz w:val="27"/>
          <w:szCs w:val="27"/>
        </w:rPr>
      </w:pPr>
      <w:r>
        <w:rPr>
          <w:sz w:val="27"/>
          <w:szCs w:val="27"/>
        </w:rPr>
        <w:tab/>
        <w:t xml:space="preserve">- Đơn vị chấp thuận: </w:t>
      </w:r>
      <w:r w:rsidRPr="00EE052E">
        <w:rPr>
          <w:b/>
          <w:sz w:val="27"/>
          <w:szCs w:val="27"/>
        </w:rPr>
        <w:t>Công ty TNHH Kiểm toán và Kế toán Hà Nội (CPA);</w:t>
      </w:r>
    </w:p>
    <w:p w:rsidR="00FA233C" w:rsidRDefault="00FA233C" w:rsidP="00FA233C">
      <w:pPr>
        <w:spacing w:line="360" w:lineRule="exact"/>
        <w:jc w:val="both"/>
        <w:rPr>
          <w:sz w:val="27"/>
          <w:szCs w:val="27"/>
        </w:rPr>
      </w:pPr>
      <w:r>
        <w:rPr>
          <w:sz w:val="27"/>
          <w:szCs w:val="27"/>
        </w:rPr>
        <w:tab/>
        <w:t xml:space="preserve">- Giá phí kiểm toán: </w:t>
      </w:r>
      <w:r w:rsidRPr="00EE052E">
        <w:rPr>
          <w:b/>
          <w:sz w:val="27"/>
          <w:szCs w:val="27"/>
        </w:rPr>
        <w:t>150.000.000, đồng.</w:t>
      </w:r>
      <w:r>
        <w:rPr>
          <w:sz w:val="27"/>
          <w:szCs w:val="27"/>
        </w:rPr>
        <w:t xml:space="preserve"> (chưa bao gồm VAT);</w:t>
      </w:r>
    </w:p>
    <w:p w:rsidR="00FA233C" w:rsidRPr="00913934" w:rsidRDefault="00FA233C" w:rsidP="00FA233C">
      <w:pPr>
        <w:spacing w:line="360" w:lineRule="exact"/>
        <w:jc w:val="both"/>
        <w:rPr>
          <w:b/>
          <w:sz w:val="27"/>
          <w:szCs w:val="27"/>
        </w:rPr>
      </w:pPr>
      <w:r>
        <w:rPr>
          <w:sz w:val="27"/>
          <w:szCs w:val="27"/>
        </w:rPr>
        <w:tab/>
        <w:t xml:space="preserve">- Nội dung kiểm toán: </w:t>
      </w:r>
      <w:r w:rsidRPr="00913934">
        <w:rPr>
          <w:b/>
          <w:sz w:val="27"/>
          <w:szCs w:val="27"/>
        </w:rPr>
        <w:t>Soát xét báo cáo tài chính 6 tháng đầu năm 2014; Kiểm toán báo cáo tài chính năm 2014.</w:t>
      </w:r>
    </w:p>
    <w:p w:rsidR="00FA233C" w:rsidRPr="00510A92" w:rsidRDefault="00FA233C" w:rsidP="00FA233C">
      <w:pPr>
        <w:pStyle w:val="BodyTextIndent"/>
        <w:spacing w:before="60" w:after="60" w:line="360" w:lineRule="exact"/>
        <w:ind w:left="0"/>
        <w:jc w:val="both"/>
        <w:rPr>
          <w:sz w:val="27"/>
          <w:szCs w:val="27"/>
        </w:rPr>
      </w:pPr>
      <w:r w:rsidRPr="00732C6F">
        <w:rPr>
          <w:b/>
          <w:sz w:val="27"/>
          <w:szCs w:val="27"/>
          <w:u w:val="single"/>
        </w:rPr>
        <w:t>Điều 2:</w:t>
      </w:r>
      <w:r>
        <w:rPr>
          <w:sz w:val="27"/>
          <w:szCs w:val="27"/>
        </w:rPr>
        <w:t xml:space="preserve"> </w:t>
      </w:r>
      <w:r w:rsidRPr="00510A92">
        <w:rPr>
          <w:sz w:val="27"/>
          <w:szCs w:val="27"/>
        </w:rPr>
        <w:t>Giao cho Ông Tổng Giám đốc và Ông Kế toán trưởng Công ty Cổ phần Đầu tư và Thương mại Dầu khí Sông Đà tiến hành ký kết hợp đồng và triển khai thực hiện theo đúng các quy định hiện hành của Nhà nước và của Công ty về công tác tài chính.</w:t>
      </w:r>
    </w:p>
    <w:p w:rsidR="00FA233C" w:rsidRPr="00BA280A" w:rsidRDefault="00FA233C" w:rsidP="00FA233C">
      <w:pPr>
        <w:spacing w:line="360" w:lineRule="exact"/>
        <w:jc w:val="both"/>
        <w:rPr>
          <w:sz w:val="27"/>
          <w:szCs w:val="27"/>
        </w:rPr>
      </w:pPr>
      <w:r w:rsidRPr="00BA280A">
        <w:rPr>
          <w:b/>
          <w:bCs/>
          <w:sz w:val="27"/>
          <w:szCs w:val="27"/>
          <w:u w:val="single"/>
        </w:rPr>
        <w:t>Điều 3:</w:t>
      </w:r>
      <w:r w:rsidRPr="00BA280A">
        <w:rPr>
          <w:sz w:val="27"/>
          <w:szCs w:val="27"/>
        </w:rPr>
        <w:t xml:space="preserve"> Các Ông (Bà): Thành viên HĐQT, Ban kiểm soát, Tổng Giám đốc </w:t>
      </w:r>
      <w:r>
        <w:rPr>
          <w:sz w:val="27"/>
          <w:szCs w:val="27"/>
        </w:rPr>
        <w:t xml:space="preserve">và Kế toán trưởng </w:t>
      </w:r>
      <w:r w:rsidRPr="00BA280A">
        <w:rPr>
          <w:sz w:val="27"/>
          <w:szCs w:val="27"/>
        </w:rPr>
        <w:t>Công ty căn cứ Nghị quyết thực hiện./.</w:t>
      </w:r>
    </w:p>
    <w:p w:rsidR="00FA233C" w:rsidRPr="00DC03A1" w:rsidRDefault="00FA233C" w:rsidP="00FA233C">
      <w:pPr>
        <w:spacing w:line="360" w:lineRule="exact"/>
        <w:jc w:val="both"/>
        <w:rPr>
          <w:b/>
          <w:i/>
          <w:iCs/>
          <w:sz w:val="16"/>
          <w:szCs w:val="16"/>
          <w:lang w:val="fr-FR"/>
        </w:rPr>
      </w:pPr>
    </w:p>
    <w:p w:rsidR="00FA233C" w:rsidRPr="000F1E72" w:rsidRDefault="00FA233C" w:rsidP="00FA233C">
      <w:pPr>
        <w:spacing w:after="60" w:line="360" w:lineRule="exact"/>
        <w:jc w:val="both"/>
        <w:rPr>
          <w:b/>
          <w:sz w:val="32"/>
          <w:lang w:val="fr-FR"/>
        </w:rPr>
      </w:pPr>
      <w:r w:rsidRPr="000F1E72">
        <w:rPr>
          <w:b/>
          <w:i/>
          <w:iCs/>
          <w:sz w:val="26"/>
          <w:lang w:val="fr-FR"/>
        </w:rPr>
        <w:t>Nơi nhận:</w:t>
      </w:r>
      <w:r w:rsidRPr="000F1E72">
        <w:rPr>
          <w:sz w:val="34"/>
          <w:lang w:val="fr-FR"/>
        </w:rPr>
        <w:t xml:space="preserve"> </w:t>
      </w:r>
      <w:r w:rsidRPr="000F1E72">
        <w:rPr>
          <w:sz w:val="32"/>
          <w:lang w:val="fr-FR"/>
        </w:rPr>
        <w:t xml:space="preserve">                                                        </w:t>
      </w:r>
      <w:r w:rsidRPr="000F1E72">
        <w:rPr>
          <w:b/>
          <w:bCs/>
          <w:lang w:val="fr-FR"/>
        </w:rPr>
        <w:t>T.M HỘI ĐỒNG QUẢN TRỊ</w:t>
      </w:r>
    </w:p>
    <w:p w:rsidR="00FA233C" w:rsidRPr="000F1E72" w:rsidRDefault="00FA233C" w:rsidP="00FA233C">
      <w:pPr>
        <w:numPr>
          <w:ilvl w:val="0"/>
          <w:numId w:val="2"/>
        </w:numPr>
        <w:rPr>
          <w:b/>
          <w:bCs/>
          <w:sz w:val="28"/>
          <w:lang w:val="fr-FR"/>
        </w:rPr>
      </w:pPr>
      <w:r w:rsidRPr="000F1E72">
        <w:rPr>
          <w:sz w:val="26"/>
          <w:szCs w:val="26"/>
          <w:lang w:val="fr-FR"/>
        </w:rPr>
        <w:t>Nh</w:t>
      </w:r>
      <w:r w:rsidRPr="000F1E72">
        <w:rPr>
          <w:sz w:val="26"/>
          <w:szCs w:val="26"/>
          <w:lang w:val="fr-FR"/>
        </w:rPr>
        <w:softHyphen/>
        <w:t>ư điều 3;</w:t>
      </w:r>
      <w:r w:rsidRPr="000F1E72">
        <w:rPr>
          <w:lang w:val="fr-FR"/>
        </w:rPr>
        <w:t xml:space="preserve"> </w:t>
      </w:r>
      <w:r w:rsidRPr="000F1E72">
        <w:rPr>
          <w:lang w:val="fr-FR"/>
        </w:rPr>
        <w:tab/>
      </w:r>
      <w:r w:rsidRPr="000F1E72">
        <w:rPr>
          <w:lang w:val="fr-FR"/>
        </w:rPr>
        <w:tab/>
      </w:r>
      <w:r w:rsidRPr="000F1E72">
        <w:rPr>
          <w:lang w:val="fr-FR"/>
        </w:rPr>
        <w:tab/>
      </w:r>
      <w:r w:rsidRPr="000F1E72">
        <w:rPr>
          <w:lang w:val="fr-FR"/>
        </w:rPr>
        <w:tab/>
        <w:t xml:space="preserve">                  </w:t>
      </w:r>
      <w:r w:rsidRPr="000F1E72">
        <w:rPr>
          <w:lang w:val="fr-FR"/>
        </w:rPr>
        <w:tab/>
        <w:t xml:space="preserve">            </w:t>
      </w:r>
      <w:r w:rsidRPr="000F1E72">
        <w:rPr>
          <w:b/>
          <w:bCs/>
          <w:sz w:val="28"/>
          <w:lang w:val="fr-FR"/>
        </w:rPr>
        <w:t>CHỦ TỊCH</w:t>
      </w:r>
    </w:p>
    <w:p w:rsidR="00FA233C" w:rsidRDefault="00FA233C" w:rsidP="00FA233C">
      <w:pPr>
        <w:numPr>
          <w:ilvl w:val="0"/>
          <w:numId w:val="2"/>
        </w:numPr>
        <w:rPr>
          <w:sz w:val="26"/>
          <w:szCs w:val="26"/>
        </w:rPr>
      </w:pPr>
      <w:r>
        <w:rPr>
          <w:sz w:val="26"/>
          <w:szCs w:val="26"/>
        </w:rPr>
        <w:t>HNX, UBCKNN;</w:t>
      </w:r>
    </w:p>
    <w:p w:rsidR="00FA233C" w:rsidRDefault="00FA233C" w:rsidP="00FA233C">
      <w:pPr>
        <w:numPr>
          <w:ilvl w:val="0"/>
          <w:numId w:val="2"/>
        </w:numPr>
        <w:rPr>
          <w:sz w:val="26"/>
          <w:szCs w:val="26"/>
        </w:rPr>
      </w:pPr>
      <w:r>
        <w:rPr>
          <w:sz w:val="26"/>
          <w:szCs w:val="26"/>
        </w:rPr>
        <w:t>Web: pvsd.vn</w:t>
      </w:r>
    </w:p>
    <w:p w:rsidR="00FA233C" w:rsidRPr="000F1E72" w:rsidRDefault="00FA233C" w:rsidP="00FA233C">
      <w:pPr>
        <w:numPr>
          <w:ilvl w:val="0"/>
          <w:numId w:val="2"/>
        </w:numPr>
        <w:rPr>
          <w:sz w:val="26"/>
          <w:szCs w:val="26"/>
        </w:rPr>
      </w:pPr>
      <w:r w:rsidRPr="000F1E72">
        <w:rPr>
          <w:sz w:val="26"/>
          <w:szCs w:val="26"/>
        </w:rPr>
        <w:t>Lưu VP, HĐQT.</w:t>
      </w:r>
    </w:p>
    <w:p w:rsidR="00FA233C" w:rsidRDefault="00FA233C" w:rsidP="00FA233C">
      <w:pPr>
        <w:spacing w:before="240"/>
        <w:rPr>
          <w:b/>
        </w:rPr>
      </w:pPr>
      <w:r w:rsidRPr="000F1E72">
        <w:rPr>
          <w:b/>
          <w:i/>
          <w:sz w:val="28"/>
          <w:szCs w:val="28"/>
        </w:rPr>
        <w:t xml:space="preserve">   </w:t>
      </w:r>
      <w:r w:rsidRPr="000F1E72">
        <w:rPr>
          <w:b/>
          <w:i/>
          <w:sz w:val="27"/>
          <w:szCs w:val="27"/>
        </w:rPr>
        <w:t xml:space="preserve">                                                     </w:t>
      </w:r>
    </w:p>
    <w:p w:rsidR="00FA233C" w:rsidRDefault="00FA233C" w:rsidP="00FA233C">
      <w:pPr>
        <w:ind w:left="5760"/>
        <w:rPr>
          <w:b/>
        </w:rPr>
      </w:pPr>
    </w:p>
    <w:p w:rsidR="00FA233C" w:rsidRPr="00B95860" w:rsidRDefault="00FA233C" w:rsidP="00FA233C">
      <w:pPr>
        <w:ind w:left="5760"/>
        <w:rPr>
          <w:b/>
        </w:rPr>
      </w:pPr>
      <w:r w:rsidRPr="000F1E72">
        <w:rPr>
          <w:b/>
        </w:rPr>
        <w:t xml:space="preserve">    ĐINH MẠNH THẮNG</w:t>
      </w:r>
    </w:p>
    <w:p w:rsidR="007D75E1" w:rsidRDefault="007D75E1"/>
    <w:sectPr w:rsidR="007D75E1" w:rsidSect="00FA233C">
      <w:pgSz w:w="11907" w:h="16840" w:code="9"/>
      <w:pgMar w:top="567" w:right="907" w:bottom="907" w:left="1418" w:header="720" w:footer="26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711"/>
    <w:multiLevelType w:val="singleLevel"/>
    <w:tmpl w:val="C9264FC6"/>
    <w:lvl w:ilvl="0">
      <w:numFmt w:val="bullet"/>
      <w:lvlText w:val="-"/>
      <w:lvlJc w:val="left"/>
      <w:pPr>
        <w:tabs>
          <w:tab w:val="num" w:pos="360"/>
        </w:tabs>
        <w:ind w:left="360" w:hanging="360"/>
      </w:pPr>
      <w:rPr>
        <w:rFonts w:ascii="Times New Roman" w:hAnsi="Times New Roman" w:hint="default"/>
        <w:b/>
      </w:rPr>
    </w:lvl>
  </w:abstractNum>
  <w:abstractNum w:abstractNumId="1">
    <w:nsid w:val="612E6C05"/>
    <w:multiLevelType w:val="hybridMultilevel"/>
    <w:tmpl w:val="DD963DF6"/>
    <w:lvl w:ilvl="0" w:tplc="5AF01844">
      <w:start w:val="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A233C"/>
    <w:rsid w:val="007D75E1"/>
    <w:rsid w:val="00A514DB"/>
    <w:rsid w:val="00FA2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3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A233C"/>
    <w:pPr>
      <w:keepNext/>
      <w:spacing w:line="440" w:lineRule="exact"/>
      <w:jc w:val="center"/>
      <w:outlineLvl w:val="0"/>
    </w:pPr>
    <w:rPr>
      <w:rFonts w:ascii=".VnTimeH" w:hAnsi=".VnTimeH"/>
      <w:b/>
      <w:color w:val="0000FF"/>
      <w:sz w:val="32"/>
      <w:szCs w:val="20"/>
    </w:rPr>
  </w:style>
  <w:style w:type="paragraph" w:styleId="Heading2">
    <w:name w:val="heading 2"/>
    <w:basedOn w:val="Normal"/>
    <w:next w:val="Normal"/>
    <w:link w:val="Heading2Char"/>
    <w:qFormat/>
    <w:rsid w:val="00FA233C"/>
    <w:pPr>
      <w:keepNext/>
      <w:spacing w:line="440" w:lineRule="exact"/>
      <w:jc w:val="center"/>
      <w:outlineLvl w:val="1"/>
    </w:pPr>
    <w:rPr>
      <w:rFonts w:ascii=".VnTimeH" w:hAnsi=".VnTimeH"/>
      <w:b/>
      <w:bCs/>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33C"/>
    <w:rPr>
      <w:rFonts w:ascii=".VnTimeH" w:eastAsia="Times New Roman" w:hAnsi=".VnTimeH" w:cs="Times New Roman"/>
      <w:b/>
      <w:color w:val="0000FF"/>
      <w:sz w:val="32"/>
      <w:szCs w:val="20"/>
    </w:rPr>
  </w:style>
  <w:style w:type="character" w:customStyle="1" w:styleId="Heading2Char">
    <w:name w:val="Heading 2 Char"/>
    <w:basedOn w:val="DefaultParagraphFont"/>
    <w:link w:val="Heading2"/>
    <w:rsid w:val="00FA233C"/>
    <w:rPr>
      <w:rFonts w:ascii=".VnTimeH" w:eastAsia="Times New Roman" w:hAnsi=".VnTimeH" w:cs="Times New Roman"/>
      <w:b/>
      <w:bCs/>
      <w:color w:val="0000FF"/>
      <w:sz w:val="28"/>
      <w:szCs w:val="20"/>
    </w:rPr>
  </w:style>
  <w:style w:type="paragraph" w:styleId="Caption">
    <w:name w:val="caption"/>
    <w:basedOn w:val="Normal"/>
    <w:next w:val="Normal"/>
    <w:qFormat/>
    <w:rsid w:val="00FA233C"/>
    <w:pPr>
      <w:ind w:left="1440" w:hanging="1440"/>
      <w:jc w:val="right"/>
    </w:pPr>
    <w:rPr>
      <w:rFonts w:ascii=".VnTime" w:hAnsi=".VnTime"/>
      <w:i/>
      <w:sz w:val="28"/>
      <w:szCs w:val="20"/>
    </w:rPr>
  </w:style>
  <w:style w:type="paragraph" w:styleId="BodyTextIndent">
    <w:name w:val="Body Text Indent"/>
    <w:basedOn w:val="Normal"/>
    <w:link w:val="BodyTextIndentChar"/>
    <w:rsid w:val="00FA233C"/>
    <w:pPr>
      <w:spacing w:after="120"/>
      <w:ind w:left="283"/>
    </w:pPr>
  </w:style>
  <w:style w:type="character" w:customStyle="1" w:styleId="BodyTextIndentChar">
    <w:name w:val="Body Text Indent Char"/>
    <w:basedOn w:val="DefaultParagraphFont"/>
    <w:link w:val="BodyTextIndent"/>
    <w:rsid w:val="00FA233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2014-07-09T07:15:00Z</dcterms:created>
  <dcterms:modified xsi:type="dcterms:W3CDTF">2014-07-09T07:16:00Z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c2bc49eecf34461b8f8873d5dbf4f4c.psdsxs" Id="R4073b60087b54e92" /></Relationships>
</file>